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Year 1:</w:t>
      </w:r>
      <w:r w:rsidR="00AE227C" w:rsidRPr="00A206A5">
        <w:rPr>
          <w:rFonts w:ascii="EMprint" w:hAnsi="EMprint"/>
          <w:sz w:val="22"/>
          <w:szCs w:val="22"/>
        </w:rPr>
        <w:t>__________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Year 1:__________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Note: the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nspection or maintenance 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Band-Aids</w:t>
            </w:r>
            <w:r>
              <w:rPr>
                <w:sz w:val="18"/>
                <w:vertAlign w:val="superscript"/>
              </w:rPr>
              <w:t>TM</w:t>
            </w:r>
            <w:r>
              <w:rPr>
                <w:sz w:val="18"/>
              </w:rPr>
              <w:t xml:space="preserve"> , gauze pads, etc,; or using butterfly bandages or Steri-Strips</w:t>
            </w:r>
            <w:r>
              <w:rPr>
                <w:sz w:val="18"/>
                <w:vertAlign w:val="superscript"/>
              </w:rPr>
              <w:t>TM</w:t>
            </w:r>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The injury or illness  keeps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Do not record cases where the injured or ill worker produces fewer goods or services than he or she would have produced prior to the injury or illness but otherwise performs all of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all of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In cases where recommendations are received by two or more physicians or health care professionals, the Company may decide which recommendation is the most authoritative, and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(Note that it does not matter whether the next calendar day is a scheduled work day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All antibiotics including those dispensed as prophylaxis where injury or illness has occurred to the subject individual.  Exceptions:  Dermal applications of Bacitracin, Neosporin, Polysporin, Polymyxin, lodine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Ibuprofen (such as Advil</w:t>
            </w:r>
            <w:r w:rsidRPr="00A206A5">
              <w:rPr>
                <w:sz w:val="18"/>
                <w:vertAlign w:val="superscript"/>
              </w:rPr>
              <w:t>TM</w:t>
            </w:r>
            <w:r w:rsidRPr="00A206A5">
              <w:rPr>
                <w:sz w:val="18"/>
              </w:rPr>
              <w:t>) - Greater than 467 mg in a single dose.</w:t>
            </w:r>
          </w:p>
          <w:p w14:paraId="49ABFA23" w14:textId="77777777" w:rsidR="00E87795" w:rsidRPr="00A206A5" w:rsidRDefault="00E87795" w:rsidP="005B5CE6">
            <w:pPr>
              <w:rPr>
                <w:sz w:val="18"/>
              </w:rPr>
            </w:pPr>
            <w:r w:rsidRPr="00A206A5">
              <w:rPr>
                <w:sz w:val="18"/>
              </w:rPr>
              <w:t>- Naproxen Sodium (such as Aleve</w:t>
            </w:r>
            <w:r w:rsidRPr="00A206A5">
              <w:rPr>
                <w:sz w:val="18"/>
                <w:vertAlign w:val="superscript"/>
              </w:rPr>
              <w:t>TM</w:t>
            </w:r>
            <w:r w:rsidRPr="00A206A5">
              <w:rPr>
                <w:sz w:val="18"/>
              </w:rPr>
              <w:t>) - Greater than 220 mg in a single dose.</w:t>
            </w:r>
          </w:p>
          <w:p w14:paraId="65A7F664" w14:textId="77777777" w:rsidR="00E87795" w:rsidRPr="00A206A5" w:rsidRDefault="00E87795" w:rsidP="005B5CE6">
            <w:pPr>
              <w:rPr>
                <w:sz w:val="18"/>
              </w:rPr>
            </w:pPr>
            <w:r w:rsidRPr="00A206A5">
              <w:rPr>
                <w:sz w:val="18"/>
              </w:rPr>
              <w:t>- Ketoprofen (such as Orudis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(Cocodamol,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4"/>
      <w:footerReference w:type="default" r:id="rId15"/>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8729C"/>
    <w:rsid w:val="000943A4"/>
    <w:rsid w:val="000C0483"/>
    <w:rsid w:val="00145619"/>
    <w:rsid w:val="001671E1"/>
    <w:rsid w:val="00174DBA"/>
    <w:rsid w:val="001B423F"/>
    <w:rsid w:val="001B7920"/>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32FE7"/>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Props1.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2.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3.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4.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6.xml><?xml version="1.0" encoding="utf-8"?>
<ds:datastoreItem xmlns:ds="http://schemas.openxmlformats.org/officeDocument/2006/customXml" ds:itemID="{8CDC3196-65AB-46BE-AC4D-F7804FA1F8A3}">
  <ds:schemaRefs>
    <ds:schemaRef ds:uri="http://schemas.microsoft.com/office/2006/documentManagement/types"/>
    <ds:schemaRef ds:uri="215c1394-adea-45cc-8a8c-01c9acc5f81a"/>
    <ds:schemaRef ds:uri="c8a5a301-1cd3-4802-aec7-4b5e23d06b89"/>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Lannon, Sean E</cp:lastModifiedBy>
  <cp:revision>2</cp:revision>
  <dcterms:created xsi:type="dcterms:W3CDTF">2025-04-11T12:57:00Z</dcterms:created>
  <dcterms:modified xsi:type="dcterms:W3CDTF">2025-04-11T12:57:00Z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899631245</vt:i4>
  </property>
  <property fmtid="{D5CDD505-2E9C-101B-9397-08002B2CF9AE}" pid="8" name="_NewReviewCycle">
    <vt:lpwstr/>
  </property>
  <property fmtid="{D5CDD505-2E9C-101B-9397-08002B2CF9AE}" pid="9" name="_EmailSubject">
    <vt:lpwstr>ExxonMobil Canada EOI - Supply of Drill Bits - Hibernia, Hebron and Exploration</vt:lpwstr>
  </property>
  <property fmtid="{D5CDD505-2E9C-101B-9397-08002B2CF9AE}" pid="10" name="_AuthorEmail">
    <vt:lpwstr>lannon.sean@esso.ca</vt:lpwstr>
  </property>
  <property fmtid="{D5CDD505-2E9C-101B-9397-08002B2CF9AE}" pid="11" name="_AuthorEmailDisplayName">
    <vt:lpwstr>Lannon, Sean E</vt:lpwstr>
  </property>
  <property fmtid="{D5CDD505-2E9C-101B-9397-08002B2CF9AE}" pid="12" name="_PreviousAdHocReviewCycleID">
    <vt:i4>232407607</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8" name="ContentTypeId">
    <vt:lpwstr>0x010100D31640B4F9EB4884BD42ED48FDC022F500D65C321F3E536847AAB10F19BBD3D6A6</vt:lpwstr>
  </property>
</Properties>
</file>